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A1A2E"/>
          <w:sz w:val="32"/>
          <w:szCs w:val="32"/>
        </w:rPr>
        <w:t xml:space="preserve">INFORME PSICOLÓGICO</w:t>
      </w:r>
    </w:p>
    <w:p>
      <w:pPr>
        <w:spacing w:after="300"/>
        <w:jc w:val="center"/>
      </w:pPr>
      <w:r>
        <w:rPr>
          <w:rFonts w:ascii="Calibri" w:cs="Calibri" w:eastAsia="Calibri" w:hAnsi="Calibri"/>
          <w:i/>
          <w:iCs/>
          <w:color w:val="666666"/>
          <w:sz w:val="20"/>
          <w:szCs w:val="20"/>
        </w:rPr>
        <w:t xml:space="preserve">(CONFIDENCIAL)</w:t>
      </w:r>
    </w:p>
    <w:p>
      <w:pPr>
        <w:spacing w:after="120" w:before="360"/>
      </w:pPr>
      <w:r>
        <w:rPr>
          <w:rFonts w:ascii="Calibri" w:cs="Calibri" w:eastAsia="Calibri" w:hAnsi="Calibri"/>
          <w:b/>
          <w:bCs/>
          <w:color w:val="1A1A2E"/>
          <w:sz w:val="24"/>
          <w:szCs w:val="24"/>
        </w:rPr>
        <w:t xml:space="preserve">1. IDENTIFICACIÓN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5%"/>
            <w:tcBorders>
              <w:top w:val="single" w:color="CCCCCC" w:sz="1"/>
              <w:left w:val="single" w:color="CCCCCC" w:sz="1"/>
              <w:bottom w:val="single" w:color="CCCCCC" w:sz="1"/>
              <w:right w:val="single" w:color="CCCCCC" w:sz="1"/>
            </w:tcBorders>
            <w:shd w:fill="EBF5FF" w:color="auto" w:val="clear"/>
            <w:vAlign w:val="center"/>
          </w:tcPr>
          <w:p>
            <w:pPr>
              <w:jc w:val="left"/>
            </w:pPr>
            <w:r>
              <w:rPr>
                <w:rFonts w:ascii="Calibri" w:cs="Calibri" w:eastAsia="Calibri" w:hAnsi="Calibri"/>
                <w:b/>
                <w:bCs/>
                <w:color w:val="1A1A2E"/>
                <w:sz w:val="20"/>
                <w:szCs w:val="20"/>
              </w:rPr>
              <w:t xml:space="preserve">Nombre</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Benjamín Ignacio Rojas Fuentes</w:t>
            </w:r>
          </w:p>
        </w:tc>
      </w:tr>
      <w:tr>
        <w:tc>
          <w:tcPr>
            <w:tcW w:type="pct" w:w="35%"/>
            <w:tcBorders>
              <w:top w:val="single" w:color="CCCCCC" w:sz="1"/>
              <w:left w:val="single" w:color="CCCCCC" w:sz="1"/>
              <w:bottom w:val="single" w:color="CCCCCC" w:sz="1"/>
              <w:right w:val="single" w:color="CCCCCC" w:sz="1"/>
            </w:tcBorders>
            <w:shd w:fill="EBF5FF" w:color="auto" w:val="clear"/>
            <w:vAlign w:val="center"/>
          </w:tcPr>
          <w:p>
            <w:pPr>
              <w:jc w:val="left"/>
            </w:pPr>
            <w:r>
              <w:rPr>
                <w:rFonts w:ascii="Calibri" w:cs="Calibri" w:eastAsia="Calibri" w:hAnsi="Calibri"/>
                <w:b/>
                <w:bCs/>
                <w:color w:val="1A1A2E"/>
                <w:sz w:val="20"/>
                <w:szCs w:val="20"/>
              </w:rPr>
              <w:t xml:space="preserve">R.U.N</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25.184.663-2</w:t>
            </w:r>
          </w:p>
        </w:tc>
      </w:tr>
      <w:tr>
        <w:tc>
          <w:tcPr>
            <w:tcW w:type="pct" w:w="35%"/>
            <w:tcBorders>
              <w:top w:val="single" w:color="CCCCCC" w:sz="1"/>
              <w:left w:val="single" w:color="CCCCCC" w:sz="1"/>
              <w:bottom w:val="single" w:color="CCCCCC" w:sz="1"/>
              <w:right w:val="single" w:color="CCCCCC" w:sz="1"/>
            </w:tcBorders>
            <w:shd w:fill="EBF5FF" w:color="auto" w:val="clear"/>
            <w:vAlign w:val="center"/>
          </w:tcPr>
          <w:p>
            <w:pPr>
              <w:jc w:val="left"/>
            </w:pPr>
            <w:r>
              <w:rPr>
                <w:rFonts w:ascii="Calibri" w:cs="Calibri" w:eastAsia="Calibri" w:hAnsi="Calibri"/>
                <w:b/>
                <w:bCs/>
                <w:color w:val="1A1A2E"/>
                <w:sz w:val="20"/>
                <w:szCs w:val="20"/>
              </w:rPr>
              <w:t xml:space="preserve">Fecha de Nacimiento</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2016-03-14</w:t>
            </w:r>
          </w:p>
        </w:tc>
      </w:tr>
      <w:tr>
        <w:tc>
          <w:tcPr>
            <w:tcW w:type="pct" w:w="35%"/>
            <w:tcBorders>
              <w:top w:val="single" w:color="CCCCCC" w:sz="1"/>
              <w:left w:val="single" w:color="CCCCCC" w:sz="1"/>
              <w:bottom w:val="single" w:color="CCCCCC" w:sz="1"/>
              <w:right w:val="single" w:color="CCCCCC" w:sz="1"/>
            </w:tcBorders>
            <w:shd w:fill="EBF5FF" w:color="auto" w:val="clear"/>
            <w:vAlign w:val="center"/>
          </w:tcPr>
          <w:p>
            <w:pPr>
              <w:jc w:val="left"/>
            </w:pPr>
            <w:r>
              <w:rPr>
                <w:rFonts w:ascii="Calibri" w:cs="Calibri" w:eastAsia="Calibri" w:hAnsi="Calibri"/>
                <w:b/>
                <w:bCs/>
                <w:color w:val="1A1A2E"/>
                <w:sz w:val="20"/>
                <w:szCs w:val="20"/>
              </w:rPr>
              <w:t xml:space="preserve">Edad</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10 años 1 meses</w:t>
            </w:r>
          </w:p>
        </w:tc>
      </w:tr>
      <w:tr>
        <w:tc>
          <w:tcPr>
            <w:tcW w:type="pct" w:w="35%"/>
            <w:tcBorders>
              <w:top w:val="single" w:color="CCCCCC" w:sz="1"/>
              <w:left w:val="single" w:color="CCCCCC" w:sz="1"/>
              <w:bottom w:val="single" w:color="CCCCCC" w:sz="1"/>
              <w:right w:val="single" w:color="CCCCCC" w:sz="1"/>
            </w:tcBorders>
            <w:shd w:fill="EBF5FF" w:color="auto" w:val="clear"/>
            <w:vAlign w:val="center"/>
          </w:tcPr>
          <w:p>
            <w:pPr>
              <w:jc w:val="left"/>
            </w:pPr>
            <w:r>
              <w:rPr>
                <w:rFonts w:ascii="Calibri" w:cs="Calibri" w:eastAsia="Calibri" w:hAnsi="Calibri"/>
                <w:b/>
                <w:bCs/>
                <w:color w:val="1A1A2E"/>
                <w:sz w:val="20"/>
                <w:szCs w:val="20"/>
              </w:rPr>
              <w:t xml:space="preserve">Escolaridad</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4° Básico</w:t>
            </w:r>
          </w:p>
        </w:tc>
      </w:tr>
      <w:tr>
        <w:tc>
          <w:tcPr>
            <w:tcW w:type="pct" w:w="35%"/>
            <w:tcBorders>
              <w:top w:val="single" w:color="CCCCCC" w:sz="1"/>
              <w:left w:val="single" w:color="CCCCCC" w:sz="1"/>
              <w:bottom w:val="single" w:color="CCCCCC" w:sz="1"/>
              <w:right w:val="single" w:color="CCCCCC" w:sz="1"/>
            </w:tcBorders>
            <w:shd w:fill="EBF5FF" w:color="auto" w:val="clear"/>
            <w:vAlign w:val="center"/>
          </w:tcPr>
          <w:p>
            <w:pPr>
              <w:jc w:val="left"/>
            </w:pPr>
            <w:r>
              <w:rPr>
                <w:rFonts w:ascii="Calibri" w:cs="Calibri" w:eastAsia="Calibri" w:hAnsi="Calibri"/>
                <w:b/>
                <w:bCs/>
                <w:color w:val="1A1A2E"/>
                <w:sz w:val="20"/>
                <w:szCs w:val="20"/>
              </w:rPr>
              <w:t xml:space="preserve">Género</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Masculino</w:t>
            </w:r>
          </w:p>
        </w:tc>
      </w:tr>
      <w:tr>
        <w:tc>
          <w:tcPr>
            <w:tcW w:type="pct" w:w="35%"/>
            <w:tcBorders>
              <w:top w:val="single" w:color="CCCCCC" w:sz="1"/>
              <w:left w:val="single" w:color="CCCCCC" w:sz="1"/>
              <w:bottom w:val="single" w:color="CCCCCC" w:sz="1"/>
              <w:right w:val="single" w:color="CCCCCC" w:sz="1"/>
            </w:tcBorders>
            <w:shd w:fill="EBF5FF" w:color="auto" w:val="clear"/>
            <w:vAlign w:val="center"/>
          </w:tcPr>
          <w:p>
            <w:pPr>
              <w:jc w:val="left"/>
            </w:pPr>
            <w:r>
              <w:rPr>
                <w:rFonts w:ascii="Calibri" w:cs="Calibri" w:eastAsia="Calibri" w:hAnsi="Calibri"/>
                <w:b/>
                <w:bCs/>
                <w:color w:val="1A1A2E"/>
                <w:sz w:val="20"/>
                <w:szCs w:val="20"/>
              </w:rPr>
              <w:t xml:space="preserve">Establecimiento</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Escuela Básica Los Aromos (caso de ejemplo)</w:t>
            </w:r>
          </w:p>
        </w:tc>
      </w:tr>
      <w:tr>
        <w:tc>
          <w:tcPr>
            <w:tcW w:type="pct" w:w="35%"/>
            <w:tcBorders>
              <w:top w:val="single" w:color="CCCCCC" w:sz="1"/>
              <w:left w:val="single" w:color="CCCCCC" w:sz="1"/>
              <w:bottom w:val="single" w:color="CCCCCC" w:sz="1"/>
              <w:right w:val="single" w:color="CCCCCC" w:sz="1"/>
            </w:tcBorders>
            <w:shd w:fill="EBF5FF" w:color="auto" w:val="clear"/>
            <w:vAlign w:val="center"/>
          </w:tcPr>
          <w:p>
            <w:pPr>
              <w:jc w:val="left"/>
            </w:pPr>
            <w:r>
              <w:rPr>
                <w:rFonts w:ascii="Calibri" w:cs="Calibri" w:eastAsia="Calibri" w:hAnsi="Calibri"/>
                <w:b/>
                <w:bCs/>
                <w:color w:val="1A1A2E"/>
                <w:sz w:val="20"/>
                <w:szCs w:val="20"/>
              </w:rPr>
              <w:t xml:space="preserve">Evaluado por</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María Fernanda Soto Valdés — Psicóloga · Programa de Integración Escolar</w:t>
            </w:r>
          </w:p>
        </w:tc>
      </w:tr>
      <w:tr>
        <w:tc>
          <w:tcPr>
            <w:tcW w:type="pct" w:w="35%"/>
            <w:tcBorders>
              <w:top w:val="single" w:color="CCCCCC" w:sz="1"/>
              <w:left w:val="single" w:color="CCCCCC" w:sz="1"/>
              <w:bottom w:val="single" w:color="CCCCCC" w:sz="1"/>
              <w:right w:val="single" w:color="CCCCCC" w:sz="1"/>
            </w:tcBorders>
            <w:shd w:fill="EBF5FF" w:color="auto" w:val="clear"/>
            <w:vAlign w:val="center"/>
          </w:tcPr>
          <w:p>
            <w:pPr>
              <w:jc w:val="left"/>
            </w:pPr>
            <w:r>
              <w:rPr>
                <w:rFonts w:ascii="Calibri" w:cs="Calibri" w:eastAsia="Calibri" w:hAnsi="Calibri"/>
                <w:b/>
                <w:bCs/>
                <w:color w:val="1A1A2E"/>
                <w:sz w:val="20"/>
                <w:szCs w:val="20"/>
              </w:rPr>
              <w:t xml:space="preserve">Fecha evaluación</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2026-04-22</w:t>
            </w:r>
          </w:p>
        </w:tc>
      </w:tr>
      <w:tr>
        <w:tc>
          <w:tcPr>
            <w:tcW w:type="pct" w:w="35%"/>
            <w:tcBorders>
              <w:top w:val="single" w:color="CCCCCC" w:sz="1"/>
              <w:left w:val="single" w:color="CCCCCC" w:sz="1"/>
              <w:bottom w:val="single" w:color="CCCCCC" w:sz="1"/>
              <w:right w:val="single" w:color="CCCCCC" w:sz="1"/>
            </w:tcBorders>
            <w:shd w:fill="EBF5FF" w:color="auto" w:val="clear"/>
            <w:vAlign w:val="center"/>
          </w:tcPr>
          <w:p>
            <w:pPr>
              <w:jc w:val="left"/>
            </w:pPr>
            <w:r>
              <w:rPr>
                <w:rFonts w:ascii="Calibri" w:cs="Calibri" w:eastAsia="Calibri" w:hAnsi="Calibri"/>
                <w:b/>
                <w:bCs/>
                <w:color w:val="1A1A2E"/>
                <w:sz w:val="20"/>
                <w:szCs w:val="20"/>
              </w:rPr>
              <w:t xml:space="preserve">Fecha reevaluación</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2028-04-22</w:t>
            </w:r>
          </w:p>
        </w:tc>
      </w:tr>
    </w:tbl>
    <w:p>
      <w:pPr>
        <w:spacing w:after="120" w:before="360"/>
      </w:pPr>
      <w:r>
        <w:rPr>
          <w:rFonts w:ascii="Calibri" w:cs="Calibri" w:eastAsia="Calibri" w:hAnsi="Calibri"/>
          <w:b/>
          <w:bCs/>
          <w:color w:val="1A1A2E"/>
          <w:sz w:val="24"/>
          <w:szCs w:val="24"/>
        </w:rPr>
        <w:t xml:space="preserve">2. MOTIVO DE CONSULTA</w:t>
      </w:r>
    </w:p>
    <w:p>
      <w:pPr>
        <w:spacing w:after="120"/>
        <w:jc w:val="both"/>
      </w:pPr>
      <w:r>
        <w:rPr>
          <w:rFonts w:ascii="Calibri" w:cs="Calibri" w:eastAsia="Calibri" w:hAnsi="Calibri"/>
          <w:color w:val="333333"/>
          <w:sz w:val="22"/>
          <w:szCs w:val="22"/>
        </w:rPr>
        <w:t xml:space="preserve">Evaluacion intelectual solicitada por establecimiento educacional para determinar apoyos e ingreso en Programa de Integracion Escolar.</w:t>
      </w:r>
    </w:p>
    <w:p>
      <w:pPr>
        <w:spacing w:after="120" w:before="360"/>
      </w:pPr>
      <w:r>
        <w:rPr>
          <w:rFonts w:ascii="Calibri" w:cs="Calibri" w:eastAsia="Calibri" w:hAnsi="Calibri"/>
          <w:b/>
          <w:bCs/>
          <w:color w:val="1A1A2E"/>
          <w:sz w:val="24"/>
          <w:szCs w:val="24"/>
        </w:rPr>
        <w:t xml:space="preserve">3. PRUEBAS APLICADAS</w:t>
      </w:r>
    </w:p>
    <w:p>
      <w:pPr>
        <w:spacing w:after="120"/>
        <w:jc w:val="both"/>
      </w:pPr>
      <w:r>
        <w:rPr>
          <w:rFonts w:ascii="Calibri" w:cs="Calibri" w:eastAsia="Calibri" w:hAnsi="Calibri"/>
          <w:color w:val="333333"/>
          <w:sz w:val="22"/>
          <w:szCs w:val="22"/>
        </w:rPr>
        <w:t xml:space="preserve">Para la presente evaluación se aplicaron los siguientes instrumentos estandarizados:</w:t>
      </w:r>
    </w:p>
    <w:p>
      <w:pPr>
        <w:spacing w:after="120"/>
        <w:jc w:val="both"/>
      </w:pPr>
      <w:r>
        <w:rPr>
          <w:rFonts w:ascii="Calibri" w:cs="Calibri" w:eastAsia="Calibri" w:hAnsi="Calibri"/>
          <w:color w:val="333333"/>
          <w:sz w:val="22"/>
          <w:szCs w:val="22"/>
        </w:rPr>
        <w:t xml:space="preserve">• Escala Wechsler de Inteligencia para Niños — Quinta Edición (WISC-V), versión chilena. Instrumento que evalúa el funcionamiento cognitivo global mediante cinco índices primarios: Comprensión Verbal (ICV), Visoespacial (IVE), Razonamiento Fluido (IRF), Memoria de Trabajo (IMT) y Velocidad de Procesamiento (IVP), además del Coeficiente Intelectual Total (CIT). Se administraron los subtests primarios correspondientes.</w:t>
      </w:r>
    </w:p>
    <w:p>
      <w:pPr>
        <w:spacing w:after="120"/>
        <w:jc w:val="both"/>
      </w:pPr>
      <w:r>
        <w:rPr>
          <w:rFonts w:ascii="Calibri" w:cs="Calibri" w:eastAsia="Calibri" w:hAnsi="Calibri"/>
          <w:color w:val="333333"/>
          <w:sz w:val="22"/>
          <w:szCs w:val="22"/>
        </w:rPr>
        <w:t xml:space="preserve">• Inventario para la Planificación de Servicios y Programación Individual (ICAP), versión chilena (Vera-Bachmann y Gálvez-Nieto). Instrumento que evalúa la conducta adaptativa a través de cuatro escalas: Destrezas Motoras (DM), Destrezas Sociales y de Comunicación (DSC), Destrezas de Vida Personal (DVP) y Destrezas de Vida en la Comunidad (DVD). La información fue recopilada mediante entrevista al informante que convive cotidianamente con el/la estudiante.</w:t>
      </w:r>
    </w:p>
    <w:p>
      <w:pPr>
        <w:spacing w:after="120"/>
        <w:jc w:val="both"/>
      </w:pPr>
      <w:r>
        <w:rPr>
          <w:rFonts w:ascii="Calibri" w:cs="Calibri" w:eastAsia="Calibri" w:hAnsi="Calibri"/>
          <w:color w:val="333333"/>
          <w:sz w:val="22"/>
          <w:szCs w:val="22"/>
        </w:rPr>
        <w:t xml:space="preserve">La evaluación se realizó en condiciones apropiadas, asegurando la privacidad, la comodidad del/la evaluado/a y el cumplimiento de los procedimientos estandarizados de administración de cada instrumento.</w:t>
      </w:r>
    </w:p>
    <w:p>
      <w:pPr>
        <w:spacing w:after="120" w:before="360"/>
      </w:pPr>
      <w:r>
        <w:rPr>
          <w:rFonts w:ascii="Calibri" w:cs="Calibri" w:eastAsia="Calibri" w:hAnsi="Calibri"/>
          <w:b/>
          <w:bCs/>
          <w:color w:val="1A1A2E"/>
          <w:sz w:val="24"/>
          <w:szCs w:val="24"/>
        </w:rPr>
        <w:t xml:space="preserve">4. CONDUCTA OBSERVADA DURANTE LA EVALUACIÓN</w:t>
      </w:r>
    </w:p>
    <w:p>
      <w:pPr>
        <w:spacing w:after="120"/>
        <w:jc w:val="both"/>
      </w:pPr>
      <w:r>
        <w:rPr>
          <w:rFonts w:ascii="Calibri" w:cs="Calibri" w:eastAsia="Calibri" w:hAnsi="Calibri"/>
          <w:color w:val="333333"/>
          <w:sz w:val="22"/>
          <w:szCs w:val="22"/>
        </w:rPr>
        <w:t xml:space="preserve">Durante las sesiones de evaluación, Benjamín se presentó con apariencia personal acorde a su edad y al contexto de evaluación.</w:t>
      </w:r>
    </w:p>
    <w:p>
      <w:pPr>
        <w:spacing w:after="120"/>
        <w:jc w:val="both"/>
      </w:pPr>
      <w:r>
        <w:rPr>
          <w:rFonts w:ascii="Calibri" w:cs="Calibri" w:eastAsia="Calibri" w:hAnsi="Calibri"/>
          <w:color w:val="333333"/>
          <w:sz w:val="22"/>
          <w:szCs w:val="22"/>
        </w:rPr>
        <w:t xml:space="preserve">El/la estudiante se mostró colaborador/a durante las sesiones, respondiendo de manera participativa a las actividades propuestas. El/la estudiante requirió motivación constante para mantener el esfuerzo ante tareas prolongadas. Solicitó repetición de instrucciones con frecuencia, lo que puede asociarse a dificultades en la comprensión verbal o en la memoria de trabajo.</w:t>
      </w:r>
    </w:p>
    <w:p>
      <w:pPr>
        <w:spacing w:after="120"/>
        <w:jc w:val="both"/>
      </w:pPr>
      <w:r>
        <w:rPr>
          <w:rFonts w:ascii="Calibri" w:cs="Calibri" w:eastAsia="Calibri" w:hAnsi="Calibri"/>
          <w:color w:val="333333"/>
          <w:sz w:val="22"/>
          <w:szCs w:val="22"/>
        </w:rPr>
        <w:t xml:space="preserve">Las condiciones de evaluación fueron adecuadas y los resultados obtenidos se consideran válidos y representativos del funcionamiento cognitivo y adaptativo actual del/la estudiante.</w:t>
      </w:r>
    </w:p>
    <w:p>
      <w:pPr>
        <w:spacing w:after="120" w:before="360"/>
      </w:pPr>
      <w:r>
        <w:rPr>
          <w:rFonts w:ascii="Calibri" w:cs="Calibri" w:eastAsia="Calibri" w:hAnsi="Calibri"/>
          <w:b/>
          <w:bCs/>
          <w:color w:val="1A1A2E"/>
          <w:sz w:val="24"/>
          <w:szCs w:val="24"/>
        </w:rPr>
        <w:t xml:space="preserve">5. ANÁLISIS DE RESULTADOS Y CONCLUSIONES</w:t>
      </w:r>
    </w:p>
    <w:p>
      <w:pPr>
        <w:spacing w:after="120" w:before="200"/>
      </w:pPr>
      <w:r>
        <w:rPr>
          <w:rFonts w:ascii="Calibri" w:cs="Calibri" w:eastAsia="Calibri" w:hAnsi="Calibri"/>
          <w:b/>
          <w:bCs/>
          <w:color w:val="2563EB"/>
          <w:sz w:val="22"/>
          <w:szCs w:val="22"/>
        </w:rPr>
        <w:t xml:space="preserve">ICAP: Conducta Adaptativa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Escala</w:t>
            </w:r>
          </w:p>
        </w:tc>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Puntaje</w:t>
            </w:r>
          </w:p>
        </w:tc>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Máximo</w:t>
            </w:r>
          </w:p>
        </w:tc>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Percentil</w:t>
            </w:r>
          </w:p>
        </w:tc>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Estado</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b/>
                <w:bCs/>
                <w:sz w:val="20"/>
                <w:szCs w:val="20"/>
              </w:rPr>
              <w:t xml:space="preserve">Destrezas Motoras</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8</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21</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P1</w:t>
            </w:r>
          </w:p>
        </w:tc>
        <w:tc>
          <w:tcPr>
            <w:tcBorders>
              <w:top w:val="single" w:color="CCCCCC" w:sz="1"/>
              <w:left w:val="single" w:color="CCCCCC" w:sz="1"/>
              <w:bottom w:val="single" w:color="CCCCCC" w:sz="1"/>
              <w:right w:val="single" w:color="CCCCCC" w:sz="1"/>
            </w:tcBorders>
            <w:shd w:fill="FFF0F0" w:color="auto" w:val="clear"/>
            <w:vAlign w:val="center"/>
          </w:tcPr>
          <w:p>
            <w:pPr>
              <w:jc w:val="center"/>
            </w:pPr>
            <w:r>
              <w:rPr>
                <w:rFonts w:ascii="Calibri" w:cs="Calibri" w:eastAsia="Calibri" w:hAnsi="Calibri"/>
                <w:b/>
                <w:bCs/>
                <w:color w:val="CC0000"/>
                <w:sz w:val="20"/>
                <w:szCs w:val="20"/>
              </w:rPr>
              <w:t xml:space="preserve">Descendido</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b/>
                <w:bCs/>
                <w:sz w:val="20"/>
                <w:szCs w:val="20"/>
              </w:rPr>
              <w:t xml:space="preserve">Destrezas Sociales y Comunicativas</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6</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15</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P1</w:t>
            </w:r>
          </w:p>
        </w:tc>
        <w:tc>
          <w:tcPr>
            <w:tcBorders>
              <w:top w:val="single" w:color="CCCCCC" w:sz="1"/>
              <w:left w:val="single" w:color="CCCCCC" w:sz="1"/>
              <w:bottom w:val="single" w:color="CCCCCC" w:sz="1"/>
              <w:right w:val="single" w:color="CCCCCC" w:sz="1"/>
            </w:tcBorders>
            <w:shd w:fill="FFF0F0" w:color="auto" w:val="clear"/>
            <w:vAlign w:val="center"/>
          </w:tcPr>
          <w:p>
            <w:pPr>
              <w:jc w:val="center"/>
            </w:pPr>
            <w:r>
              <w:rPr>
                <w:rFonts w:ascii="Calibri" w:cs="Calibri" w:eastAsia="Calibri" w:hAnsi="Calibri"/>
                <w:b/>
                <w:bCs/>
                <w:color w:val="CC0000"/>
                <w:sz w:val="20"/>
                <w:szCs w:val="20"/>
              </w:rPr>
              <w:t xml:space="preserve">Descendido</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b/>
                <w:bCs/>
                <w:sz w:val="20"/>
                <w:szCs w:val="20"/>
              </w:rPr>
              <w:t xml:space="preserve">Destrezas de la Vida Personal</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5</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15</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P1</w:t>
            </w:r>
          </w:p>
        </w:tc>
        <w:tc>
          <w:tcPr>
            <w:tcBorders>
              <w:top w:val="single" w:color="CCCCCC" w:sz="1"/>
              <w:left w:val="single" w:color="CCCCCC" w:sz="1"/>
              <w:bottom w:val="single" w:color="CCCCCC" w:sz="1"/>
              <w:right w:val="single" w:color="CCCCCC" w:sz="1"/>
            </w:tcBorders>
            <w:shd w:fill="FFF0F0" w:color="auto" w:val="clear"/>
            <w:vAlign w:val="center"/>
          </w:tcPr>
          <w:p>
            <w:pPr>
              <w:jc w:val="center"/>
            </w:pPr>
            <w:r>
              <w:rPr>
                <w:rFonts w:ascii="Calibri" w:cs="Calibri" w:eastAsia="Calibri" w:hAnsi="Calibri"/>
                <w:b/>
                <w:bCs/>
                <w:color w:val="CC0000"/>
                <w:sz w:val="20"/>
                <w:szCs w:val="20"/>
              </w:rPr>
              <w:t xml:space="preserve">Descendido</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b/>
                <w:bCs/>
                <w:sz w:val="20"/>
                <w:szCs w:val="20"/>
              </w:rPr>
              <w:t xml:space="preserve">Destrezas de la Vida Diaria</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9</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30</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P30</w:t>
            </w:r>
          </w:p>
        </w:tc>
        <w:tc>
          <w:tcPr>
            <w:tcBorders>
              <w:top w:val="single" w:color="CCCCCC" w:sz="1"/>
              <w:left w:val="single" w:color="CCCCCC" w:sz="1"/>
              <w:bottom w:val="single" w:color="CCCCCC" w:sz="1"/>
              <w:right w:val="single" w:color="CCCCCC" w:sz="1"/>
            </w:tcBorders>
            <w:shd w:fill="E8F8F0" w:color="auto" w:val="clear"/>
            <w:vAlign w:val="center"/>
          </w:tcPr>
          <w:p>
            <w:pPr>
              <w:jc w:val="center"/>
            </w:pPr>
            <w:r>
              <w:rPr>
                <w:rFonts w:ascii="Calibri" w:cs="Calibri" w:eastAsia="Calibri" w:hAnsi="Calibri"/>
                <w:b/>
                <w:bCs/>
                <w:color w:val="008800"/>
                <w:sz w:val="20"/>
                <w:szCs w:val="20"/>
              </w:rPr>
              <w:t xml:space="preserve">Normal</w:t>
            </w:r>
          </w:p>
        </w:tc>
      </w:tr>
    </w:tbl>
    <w:p>
      <w:pPr>
        <w:spacing w:after="120"/>
        <w:jc w:val="both"/>
      </w:pPr>
      <w:r>
        <w:rPr>
          <w:rFonts w:ascii="Calibri" w:cs="Calibri" w:eastAsia="Calibri" w:hAnsi="Calibri"/>
          <w:color w:val="333333"/>
          <w:sz w:val="22"/>
          <w:szCs w:val="22"/>
        </w:rPr>
        <w:t xml:space="preserve">La evaluación de conducta adaptativa mediante el ICAP (versión chilena) se llevó a cabo a través de entrevista con un informante que conoce al/la estudiante en el contexto cotidiano. Las puntuaciones se expresan en percentiles, con punto de corte en el Percentil 20 (P20): valores iguales o inferiores al P20 indican limitaciones significativas en esa área.</w:t>
      </w:r>
    </w:p>
    <w:p>
      <w:pPr>
        <w:spacing w:after="120"/>
        <w:jc w:val="both"/>
      </w:pPr>
      <w:r>
        <w:rPr>
          <w:rFonts w:ascii="Calibri" w:cs="Calibri" w:eastAsia="Calibri" w:hAnsi="Calibri"/>
          <w:color w:val="333333"/>
          <w:sz w:val="22"/>
          <w:szCs w:val="22"/>
        </w:rPr>
        <w:t xml:space="preserve">En la escala de Destrezas Motoras, Benjamín obtuvo un percentil de 1, ubicándose por debajo del punto de corte (P20). Este resultado indica que el/la estudiante presenta limitaciones significativas en comparación con pares de su edad, observándose dificultades en coordinación motora fina y/o gruesa en actividades de la vida diaria. Estas limitaciones impactan su autonomía funcional en el contexto escolar y cotidiano.</w:t>
      </w:r>
    </w:p>
    <w:p>
      <w:pPr>
        <w:spacing w:after="120"/>
        <w:jc w:val="both"/>
      </w:pPr>
      <w:r>
        <w:rPr>
          <w:rFonts w:ascii="Calibri" w:cs="Calibri" w:eastAsia="Calibri" w:hAnsi="Calibri"/>
          <w:color w:val="333333"/>
          <w:sz w:val="22"/>
          <w:szCs w:val="22"/>
        </w:rPr>
        <w:t xml:space="preserve">En la escala de Destrezas Sociales y de Comunicación, Benjamín obtuvo un percentil de 1, ubicándose por debajo del punto de corte (P20). Este resultado indica que el/la estudiante presenta limitaciones significativas en comparación con pares de su edad, observándose dificultades en comunicación verbal, interacción con pares y comprensión de normas sociales. Estas limitaciones impactan su autonomía funcional en el contexto escolar y cotidiano.</w:t>
      </w:r>
    </w:p>
    <w:p>
      <w:pPr>
        <w:spacing w:after="120"/>
        <w:jc w:val="both"/>
      </w:pPr>
      <w:r>
        <w:rPr>
          <w:rFonts w:ascii="Calibri" w:cs="Calibri" w:eastAsia="Calibri" w:hAnsi="Calibri"/>
          <w:color w:val="333333"/>
          <w:sz w:val="22"/>
          <w:szCs w:val="22"/>
        </w:rPr>
        <w:t xml:space="preserve">En la escala de Destrezas de Vida Personal, Benjamín obtuvo un percentil de 1, ubicándose por debajo del punto de corte (P20). Este resultado indica que el/la estudiante presenta limitaciones significativas en comparación con pares de su edad, observándose dificultades en autonomía en el cuidado personal, higiene y organización de sus pertenencias. Estas limitaciones impactan su autonomía funcional en el contexto escolar y cotidiano.</w:t>
      </w:r>
    </w:p>
    <w:p>
      <w:pPr>
        <w:spacing w:after="120"/>
        <w:jc w:val="both"/>
      </w:pPr>
      <w:r>
        <w:rPr>
          <w:rFonts w:ascii="Calibri" w:cs="Calibri" w:eastAsia="Calibri" w:hAnsi="Calibri"/>
          <w:color w:val="333333"/>
          <w:sz w:val="22"/>
          <w:szCs w:val="22"/>
        </w:rPr>
        <w:t xml:space="preserve">En la escala de Destrezas de Vida en la Comunidad, Benjamín obtuvo un percentil de 30, ubicándose sobre el punto de corte establecido (P20). Este resultado indica que el/la estudiante presenta habilidades acordes o superiores a lo esperado para su edad en esta área, sin evidenciar limitaciones significativas en su funcionamiento cotidiano.</w:t>
      </w:r>
    </w:p>
    <w:p>
      <w:pPr>
        <w:spacing w:after="120"/>
        <w:jc w:val="both"/>
      </w:pPr>
      <w:r>
        <w:rPr>
          <w:rFonts w:ascii="Calibri" w:cs="Calibri" w:eastAsia="Calibri" w:hAnsi="Calibri"/>
          <w:color w:val="333333"/>
          <w:sz w:val="22"/>
          <w:szCs w:val="22"/>
        </w:rPr>
        <w:t xml:space="preserve">En síntesis, se evidencian limitaciones significativas en las escalas de Destrezas Motoras y Destrezas Sociales y Comunicativas y Destrezas de la Vida Personal, configurando un déficit adaptativo que debe ser considerado en el diagnóstico integral y en la planificación de los apoyos.</w:t>
      </w:r>
    </w:p>
    <w:p>
      <w:pPr>
        <w:spacing w:after="120" w:before="300"/>
      </w:pPr>
      <w:r>
        <w:rPr>
          <w:rFonts w:ascii="Calibri" w:cs="Calibri" w:eastAsia="Calibri" w:hAnsi="Calibri"/>
          <w:b/>
          <w:bCs/>
          <w:color w:val="2563EB"/>
          <w:sz w:val="22"/>
          <w:szCs w:val="22"/>
        </w:rPr>
        <w:t xml:space="preserve">Funcionamiento Cognitivo (WISC-V)</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Índice</w:t>
            </w:r>
          </w:p>
        </w:tc>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Compuesto</w:t>
            </w:r>
          </w:p>
        </w:tc>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Percentil</w:t>
            </w:r>
          </w:p>
        </w:tc>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IC 95%</w:t>
            </w:r>
          </w:p>
        </w:tc>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Clasificación</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b/>
                <w:bCs/>
                <w:sz w:val="20"/>
                <w:szCs w:val="20"/>
              </w:rPr>
              <w:t xml:space="preserve">Comprension Verbal (ICV)</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sz w:val="20"/>
                <w:szCs w:val="20"/>
              </w:rPr>
              <w:t xml:space="preserve">90</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25</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[84 - 98]</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color w:val="008800"/>
                <w:sz w:val="20"/>
                <w:szCs w:val="20"/>
              </w:rPr>
              <w:t xml:space="preserve">Promedio</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b/>
                <w:bCs/>
                <w:sz w:val="20"/>
                <w:szCs w:val="20"/>
              </w:rPr>
              <w:t xml:space="preserve">Visuoespacial (IVE)</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sz w:val="20"/>
                <w:szCs w:val="20"/>
              </w:rPr>
              <w:t xml:space="preserve">100</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50</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[91 - 109]</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color w:val="008800"/>
                <w:sz w:val="20"/>
                <w:szCs w:val="20"/>
              </w:rPr>
              <w:t xml:space="preserve">Promedio</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b/>
                <w:bCs/>
                <w:sz w:val="20"/>
                <w:szCs w:val="20"/>
              </w:rPr>
              <w:t xml:space="preserve">Razonamiento Fluido (IRF)</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sz w:val="20"/>
                <w:szCs w:val="20"/>
              </w:rPr>
              <w:t xml:space="preserve">85</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16</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[79 - 93]</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color w:val="CC8800"/>
                <w:sz w:val="20"/>
                <w:szCs w:val="20"/>
              </w:rPr>
              <w:t xml:space="preserve">Promedio Bajo</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b/>
                <w:bCs/>
                <w:sz w:val="20"/>
                <w:szCs w:val="20"/>
              </w:rPr>
              <w:t xml:space="preserve">Memoria de Trabajo (IMT)</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sz w:val="20"/>
                <w:szCs w:val="20"/>
              </w:rPr>
              <w:t xml:space="preserve">79</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8</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[73 - 88]</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color w:val="CC0000"/>
                <w:sz w:val="20"/>
                <w:szCs w:val="20"/>
              </w:rPr>
              <w:t xml:space="preserve">Limitrofe</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b/>
                <w:bCs/>
                <w:sz w:val="20"/>
                <w:szCs w:val="20"/>
              </w:rPr>
              <w:t xml:space="preserve">Velocidad de Procesamiento (IVP)</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sz w:val="20"/>
                <w:szCs w:val="20"/>
              </w:rPr>
              <w:t xml:space="preserve">94</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34</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[85 - 104]</w:t>
            </w:r>
          </w:p>
        </w:tc>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color w:val="008800"/>
                <w:sz w:val="20"/>
                <w:szCs w:val="20"/>
              </w:rPr>
              <w:t xml:space="preserve">Promedio</w:t>
            </w:r>
          </w:p>
        </w:tc>
      </w:tr>
      <w:tr>
        <w:tc>
          <w:tcPr>
            <w:tcBorders>
              <w:top w:val="single" w:color="CCCCCC" w:sz="1"/>
              <w:left w:val="single" w:color="CCCCCC" w:sz="1"/>
              <w:bottom w:val="single" w:color="CCCCCC" w:sz="1"/>
              <w:right w:val="single" w:color="CCCCCC" w:sz="1"/>
            </w:tcBorders>
            <w:shd w:fill="1A1A2E" w:color="auto" w:val="clear"/>
            <w:vAlign w:val="center"/>
          </w:tcPr>
          <w:p>
            <w:pPr>
              <w:jc w:val="left"/>
            </w:pPr>
            <w:r>
              <w:rPr>
                <w:rFonts w:ascii="Calibri" w:cs="Calibri" w:eastAsia="Calibri" w:hAnsi="Calibri"/>
                <w:b/>
                <w:bCs/>
                <w:color w:val="FFFFFF"/>
                <w:sz w:val="20"/>
                <w:szCs w:val="20"/>
              </w:rPr>
              <w:t xml:space="preserve">CIT (Escala Total)</w:t>
            </w:r>
          </w:p>
        </w:tc>
        <w:tc>
          <w:tcPr>
            <w:tcBorders>
              <w:top w:val="single" w:color="CCCCCC" w:sz="1"/>
              <w:left w:val="single" w:color="CCCCCC" w:sz="1"/>
              <w:bottom w:val="single" w:color="CCCCCC" w:sz="1"/>
              <w:right w:val="single" w:color="CCCCCC" w:sz="1"/>
            </w:tcBorders>
            <w:shd w:fill="1A1A2E" w:color="auto" w:val="clear"/>
            <w:vAlign w:val="center"/>
          </w:tcPr>
          <w:p>
            <w:pPr>
              <w:jc w:val="center"/>
            </w:pPr>
            <w:r>
              <w:rPr>
                <w:rFonts w:ascii="Calibri" w:cs="Calibri" w:eastAsia="Calibri" w:hAnsi="Calibri"/>
                <w:b/>
                <w:bCs/>
                <w:color w:val="FFFFFF"/>
                <w:sz w:val="24"/>
                <w:szCs w:val="24"/>
              </w:rPr>
              <w:t xml:space="preserve">87</w:t>
            </w:r>
          </w:p>
        </w:tc>
        <w:tc>
          <w:tcPr>
            <w:tcBorders>
              <w:top w:val="single" w:color="CCCCCC" w:sz="1"/>
              <w:left w:val="single" w:color="CCCCCC" w:sz="1"/>
              <w:bottom w:val="single" w:color="CCCCCC" w:sz="1"/>
              <w:right w:val="single" w:color="CCCCCC" w:sz="1"/>
            </w:tcBorders>
            <w:shd w:fill="1A1A2E" w:color="auto" w:val="clear"/>
            <w:vAlign w:val="center"/>
          </w:tcPr>
          <w:p>
            <w:pPr>
              <w:jc w:val="center"/>
            </w:pPr>
            <w:r>
              <w:rPr>
                <w:rFonts w:ascii="Calibri" w:cs="Calibri" w:eastAsia="Calibri" w:hAnsi="Calibri"/>
                <w:color w:val="FFFFFF"/>
                <w:sz w:val="20"/>
                <w:szCs w:val="20"/>
              </w:rPr>
              <w:t xml:space="preserve">19</w:t>
            </w:r>
          </w:p>
        </w:tc>
        <w:tc>
          <w:tcPr>
            <w:tcBorders>
              <w:top w:val="single" w:color="CCCCCC" w:sz="1"/>
              <w:left w:val="single" w:color="CCCCCC" w:sz="1"/>
              <w:bottom w:val="single" w:color="CCCCCC" w:sz="1"/>
              <w:right w:val="single" w:color="CCCCCC" w:sz="1"/>
            </w:tcBorders>
            <w:shd w:fill="1A1A2E" w:color="auto" w:val="clear"/>
            <w:vAlign w:val="center"/>
          </w:tcPr>
          <w:p>
            <w:pPr>
              <w:jc w:val="center"/>
            </w:pPr>
            <w:r>
              <w:rPr>
                <w:rFonts w:ascii="Calibri" w:cs="Calibri" w:eastAsia="Calibri" w:hAnsi="Calibri"/>
                <w:color w:val="FFFFFF"/>
                <w:sz w:val="20"/>
                <w:szCs w:val="20"/>
              </w:rPr>
              <w:t xml:space="preserve">[82 - 93]</w:t>
            </w:r>
          </w:p>
        </w:tc>
        <w:tc>
          <w:tcPr>
            <w:tcBorders>
              <w:top w:val="single" w:color="CCCCCC" w:sz="1"/>
              <w:left w:val="single" w:color="CCCCCC" w:sz="1"/>
              <w:bottom w:val="single" w:color="CCCCCC" w:sz="1"/>
              <w:right w:val="single" w:color="CCCCCC" w:sz="1"/>
            </w:tcBorders>
            <w:shd w:fill="1A1A2E" w:color="auto" w:val="clear"/>
            <w:vAlign w:val="center"/>
          </w:tcPr>
          <w:p>
            <w:pPr>
              <w:jc w:val="center"/>
            </w:pPr>
            <w:r>
              <w:rPr>
                <w:rFonts w:ascii="Calibri" w:cs="Calibri" w:eastAsia="Calibri" w:hAnsi="Calibri"/>
                <w:b/>
                <w:bCs/>
                <w:color w:val="FFFFFF"/>
                <w:sz w:val="20"/>
                <w:szCs w:val="20"/>
              </w:rPr>
              <w:t xml:space="preserve">Promedio Bajo</w:t>
            </w:r>
          </w:p>
        </w:tc>
      </w:tr>
    </w:tbl>
    <w:p>
      <w:pPr>
        <w:spacing w:before="200"/>
      </w:pPr>
    </w:p>
    <w:p>
      <w:pPr>
        <w:spacing w:after="120"/>
      </w:pPr>
      <w:r>
        <w:rPr>
          <w:rFonts w:ascii="Calibri" w:cs="Calibri" w:eastAsia="Calibri" w:hAnsi="Calibri"/>
          <w:b/>
          <w:bCs/>
          <w:color w:val="1A1A2E"/>
          <w:sz w:val="20"/>
          <w:szCs w:val="20"/>
        </w:rPr>
        <w:t xml:space="preserve">Puntajes Escalares por Subtest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Subtest</w:t>
            </w:r>
          </w:p>
        </w:tc>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Puntaje Bruto</w:t>
            </w:r>
          </w:p>
        </w:tc>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Puntaje Escalar</w:t>
            </w:r>
          </w:p>
        </w:tc>
        <w:tc>
          <w:tcPr>
            <w:tcBorders>
              <w:top w:val="single" w:color="CCCCCC" w:sz="1"/>
              <w:left w:val="single" w:color="CCCCCC" w:sz="1"/>
              <w:bottom w:val="single" w:color="CCCCCC" w:sz="1"/>
              <w:right w:val="single" w:color="CCCCCC" w:sz="1"/>
            </w:tcBorders>
            <w:shd w:fill="2563EB" w:color="auto" w:val="clear"/>
            <w:vAlign w:val="center"/>
          </w:tcPr>
          <w:p>
            <w:pPr>
              <w:jc w:val="center"/>
            </w:pPr>
            <w:r>
              <w:rPr>
                <w:rFonts w:ascii="Calibri" w:cs="Calibri" w:eastAsia="Calibri" w:hAnsi="Calibri"/>
                <w:b/>
                <w:bCs/>
                <w:color w:val="FFFFFF"/>
                <w:sz w:val="18"/>
                <w:szCs w:val="18"/>
              </w:rPr>
              <w:t xml:space="preserve">Índice</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Construccion con Cubos (CC)</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28</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color w:val="008800"/>
                <w:sz w:val="20"/>
                <w:szCs w:val="20"/>
              </w:rPr>
              <w:t xml:space="preserve">12</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IVE</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Analogias (AN)</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15</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color w:val="CC8800"/>
                <w:sz w:val="20"/>
                <w:szCs w:val="20"/>
              </w:rPr>
              <w:t xml:space="preserve">7</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ICV</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Matrices (MR)</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14</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color w:val="008800"/>
                <w:sz w:val="20"/>
                <w:szCs w:val="20"/>
              </w:rPr>
              <w:t xml:space="preserve">8</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IRF</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Retencion de Digitos (RD)</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16</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color w:val="CC8800"/>
                <w:sz w:val="20"/>
                <w:szCs w:val="20"/>
              </w:rPr>
              <w:t xml:space="preserve">6</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IMT</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Claves (CLA)</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38</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color w:val="008800"/>
                <w:sz w:val="20"/>
                <w:szCs w:val="20"/>
              </w:rPr>
              <w:t xml:space="preserve">9</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IVP</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Vocabulario (VOC)</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19</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color w:val="008800"/>
                <w:sz w:val="20"/>
                <w:szCs w:val="20"/>
              </w:rPr>
              <w:t xml:space="preserve">9</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ICV</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Balanzas (BAL)</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14</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color w:val="CC8800"/>
                <w:sz w:val="20"/>
                <w:szCs w:val="20"/>
              </w:rPr>
              <w:t xml:space="preserve">7</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IRF</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Rompecabezas Visuales (RV)</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13</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color w:val="008800"/>
                <w:sz w:val="20"/>
                <w:szCs w:val="20"/>
              </w:rPr>
              <w:t xml:space="preserve">8</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IVE</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Retencion de Imagenes (RI)</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20</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color w:val="CC8800"/>
                <w:sz w:val="20"/>
                <w:szCs w:val="20"/>
              </w:rPr>
              <w:t xml:space="preserve">7</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IMT</w:t>
            </w:r>
          </w:p>
        </w:tc>
      </w:tr>
      <w:tr>
        <w:tc>
          <w:tcPr>
            <w:tcBorders>
              <w:top w:val="single" w:color="CCCCCC" w:sz="1"/>
              <w:left w:val="single" w:color="CCCCCC" w:sz="1"/>
              <w:bottom w:val="single" w:color="CCCCCC" w:sz="1"/>
              <w:right w:val="single" w:color="CCCCCC" w:sz="1"/>
            </w:tcBorders>
            <w:vAlign w:val="center"/>
          </w:tcPr>
          <w:p>
            <w:pPr>
              <w:jc w:val="left"/>
            </w:pPr>
            <w:r>
              <w:rPr>
                <w:rFonts w:ascii="Calibri" w:cs="Calibri" w:eastAsia="Calibri" w:hAnsi="Calibri"/>
                <w:sz w:val="20"/>
                <w:szCs w:val="20"/>
              </w:rPr>
              <w:t xml:space="preserve">Busqueda de Simbolos (BS)</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22</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b/>
                <w:bCs/>
                <w:color w:val="008800"/>
                <w:sz w:val="20"/>
                <w:szCs w:val="20"/>
              </w:rPr>
              <w:t xml:space="preserve">9</w:t>
            </w:r>
          </w:p>
        </w:tc>
        <w:tc>
          <w:tcPr>
            <w:tcBorders>
              <w:top w:val="single" w:color="CCCCCC" w:sz="1"/>
              <w:left w:val="single" w:color="CCCCCC" w:sz="1"/>
              <w:bottom w:val="single" w:color="CCCCCC" w:sz="1"/>
              <w:right w:val="single" w:color="CCCCCC" w:sz="1"/>
            </w:tcBorders>
            <w:vAlign w:val="center"/>
          </w:tcPr>
          <w:p>
            <w:pPr>
              <w:jc w:val="center"/>
            </w:pPr>
            <w:r>
              <w:rPr>
                <w:rFonts w:ascii="Calibri" w:cs="Calibri" w:eastAsia="Calibri" w:hAnsi="Calibri"/>
                <w:sz w:val="20"/>
                <w:szCs w:val="20"/>
              </w:rPr>
              <w:t xml:space="preserve">IVP</w:t>
            </w:r>
          </w:p>
        </w:tc>
      </w:tr>
    </w:tbl>
    <w:p>
      <w:pPr>
        <w:spacing w:after="120"/>
        <w:jc w:val="both"/>
      </w:pPr>
      <w:r>
        <w:rPr>
          <w:rFonts w:ascii="Calibri" w:cs="Calibri" w:eastAsia="Calibri" w:hAnsi="Calibri"/>
          <w:color w:val="333333"/>
          <w:sz w:val="22"/>
          <w:szCs w:val="22"/>
        </w:rPr>
        <w:t xml:space="preserve">El/la estudiante obtuvo un CIT de 87, correspondiente a la clasificación Promedio Bajo, percentil 19. Este resultado indica un funcionamiento intelectual global que se encuentra por debajo del promedio esperado para su edad, aunque sin configurar una limitación significativa del funcionamiento intelectual. Se sugiere analizar el perfil de índices para identificar áreas de fortaleza y dificultad.</w:t>
      </w:r>
    </w:p>
    <w:p>
      <w:pPr>
        <w:spacing w:after="120"/>
        <w:jc w:val="both"/>
      </w:pPr>
      <w:r>
        <w:rPr>
          <w:rFonts w:ascii="Calibri" w:cs="Calibri" w:eastAsia="Calibri" w:hAnsi="Calibri"/>
          <w:color w:val="333333"/>
          <w:sz w:val="22"/>
          <w:szCs w:val="22"/>
        </w:rPr>
        <w:t xml:space="preserve">Análisis por Índice Primario:</w:t>
      </w:r>
    </w:p>
    <w:p>
      <w:pPr>
        <w:spacing w:after="120"/>
        <w:jc w:val="both"/>
      </w:pPr>
      <w:r>
        <w:rPr>
          <w:rFonts w:ascii="Calibri" w:cs="Calibri" w:eastAsia="Calibri" w:hAnsi="Calibri"/>
          <w:color w:val="333333"/>
          <w:sz w:val="22"/>
          <w:szCs w:val="22"/>
        </w:rPr>
        <w:t xml:space="preserve">El ICV de 90 (Promedio, percentil 25) indica que el/la estudiante presenta habilidades de comprensión y expresión verbal acordes a lo esperado para su grupo etario. Su desarrollo conceptual verbal, vocabulario y capacidad de razonamiento lingüístico se sitúan dentro del rango típico.</w:t>
      </w:r>
    </w:p>
    <w:p>
      <w:pPr>
        <w:spacing w:after="120"/>
        <w:jc w:val="both"/>
      </w:pPr>
      <w:r>
        <w:rPr>
          <w:rFonts w:ascii="Calibri" w:cs="Calibri" w:eastAsia="Calibri" w:hAnsi="Calibri"/>
          <w:color w:val="333333"/>
          <w:sz w:val="22"/>
          <w:szCs w:val="22"/>
        </w:rPr>
        <w:t xml:space="preserve">El IVE de 100 (Promedio, percentil 50) indica que las habilidades visoespaciales del/la estudiante se sitúan dentro del rango esperado para su edad, mostrando una adecuada capacidad para percibir y manipular información visual.</w:t>
      </w:r>
    </w:p>
    <w:p>
      <w:pPr>
        <w:spacing w:after="120"/>
        <w:jc w:val="both"/>
      </w:pPr>
      <w:r>
        <w:rPr>
          <w:rFonts w:ascii="Calibri" w:cs="Calibri" w:eastAsia="Calibri" w:hAnsi="Calibri"/>
          <w:color w:val="333333"/>
          <w:sz w:val="22"/>
          <w:szCs w:val="22"/>
        </w:rPr>
        <w:t xml:space="preserve">El IRF de 85 (Promedio Bajo, percentil 16) indica dificultades en el razonamiento inductivo y la resolución de problemas abstractos. El/la estudiante presenta menor facilidad para identificar patrones y reglas implícitas en situaciones novedosas, lo que puede reflejarse en dificultades con el razonamiento matemático, la resolución de problemas en ciencias y las tareas que requieren pensamiento abstracto.</w:t>
      </w:r>
    </w:p>
    <w:p>
      <w:pPr>
        <w:spacing w:after="120"/>
        <w:jc w:val="both"/>
      </w:pPr>
      <w:r>
        <w:rPr>
          <w:rFonts w:ascii="Calibri" w:cs="Calibri" w:eastAsia="Calibri" w:hAnsi="Calibri"/>
          <w:color w:val="333333"/>
          <w:sz w:val="22"/>
          <w:szCs w:val="22"/>
        </w:rPr>
        <w:t xml:space="preserve">El IMT de 79 (Limítrofe, percentil 8) revela dificultades significativas en la memoria de trabajo. El/la estudiante presenta importantes limitaciones para retener y operar con información de forma simultánea, lo que impacta directamente su capacidad para seguir instrucciones, realizar operaciones matemáticas mentales, comprender textos extensos y trabajar de manera autónoma en tareas complejas. Estas dificultades suelen asociarse a un rendimiento académico inconsistente y a la necesidad de apoyos externos frecuentes.</w:t>
      </w:r>
    </w:p>
    <w:p>
      <w:pPr>
        <w:spacing w:after="120"/>
        <w:jc w:val="both"/>
      </w:pPr>
      <w:r>
        <w:rPr>
          <w:rFonts w:ascii="Calibri" w:cs="Calibri" w:eastAsia="Calibri" w:hAnsi="Calibri"/>
          <w:color w:val="333333"/>
          <w:sz w:val="22"/>
          <w:szCs w:val="22"/>
        </w:rPr>
        <w:t xml:space="preserve">El IVP de 94 (Promedio, percentil 34) indica que la velocidad de procesamiento del/la estudiante se sitúa dentro del rango esperado para su edad, con una adecuada rapidez y precisión en las tareas de identificación y discriminación visual.</w:t>
      </w:r>
    </w:p>
    <w:p>
      <w:pPr>
        <w:spacing w:after="120" w:before="360"/>
      </w:pPr>
      <w:r>
        <w:rPr>
          <w:rFonts w:ascii="Calibri" w:cs="Calibri" w:eastAsia="Calibri" w:hAnsi="Calibri"/>
          <w:b/>
          <w:bCs/>
          <w:color w:val="1A1A2E"/>
          <w:sz w:val="24"/>
          <w:szCs w:val="24"/>
        </w:rPr>
        <w:t xml:space="preserve">6. INTEGRACIÓN DE RESULTADOS</w:t>
      </w:r>
    </w:p>
    <w:p>
      <w:pPr>
        <w:spacing w:after="120"/>
        <w:jc w:val="both"/>
      </w:pPr>
      <w:r>
        <w:rPr>
          <w:rFonts w:ascii="Calibri" w:cs="Calibri" w:eastAsia="Calibri" w:hAnsi="Calibri"/>
          <w:color w:val="333333"/>
          <w:sz w:val="22"/>
          <w:szCs w:val="22"/>
        </w:rPr>
        <w:t xml:space="preserve">Los resultados del WISC-V muestran un perfil caracterizado por un funcionamiento intelectual en rango Promedio Bajo (CIT = 87), con fortalezas relativas en IVE y dificultades significativas en los índices de mayor sensibilidad ejecutiva y atencional (IMT = 79, IVP = 94). Este patrón de disociación cognitiva es consistente con las características frecuentemente asociadas al Trastorno por Déficit de Atención e Hiperactividad, diagnóstico que debe ser confirmado por evaluación médica especializada.</w:t>
      </w:r>
    </w:p>
    <w:p>
      <w:pPr>
        <w:spacing w:after="120" w:before="360"/>
      </w:pPr>
      <w:r>
        <w:rPr>
          <w:rFonts w:ascii="Calibri" w:cs="Calibri" w:eastAsia="Calibri" w:hAnsi="Calibri"/>
          <w:b/>
          <w:bCs/>
          <w:color w:val="1A1A2E"/>
          <w:sz w:val="24"/>
          <w:szCs w:val="24"/>
        </w:rPr>
        <w:t xml:space="preserve">7. CONCLUSIONES</w:t>
      </w:r>
    </w:p>
    <w:p>
      <w:pPr>
        <w:spacing w:after="120"/>
        <w:jc w:val="both"/>
      </w:pPr>
      <w:r>
        <w:rPr>
          <w:rFonts w:ascii="Calibri" w:cs="Calibri" w:eastAsia="Calibri" w:hAnsi="Calibri"/>
          <w:color w:val="333333"/>
          <w:sz w:val="22"/>
          <w:szCs w:val="22"/>
        </w:rPr>
        <w:t xml:space="preserve">Los resultados de la evaluación cognitiva con WISC-V muestran un perfil con funcionamiento intelectual en rango Promedio Bajo (CIT = 87, percentil 19), con fortalezas cognitivas en algunas áreas y dificultades específicas en los índices de Memoria de Trabajo (IMT = 79) y/o Velocidad de Procesamiento (IVP = 94), los cuales son altamente sensibles a la atención sostenida y las funciones ejecutivas.</w:t>
      </w:r>
    </w:p>
    <w:p>
      <w:pPr>
        <w:spacing w:after="120"/>
        <w:jc w:val="both"/>
      </w:pPr>
      <w:r>
        <w:rPr>
          <w:rFonts w:ascii="Calibri" w:cs="Calibri" w:eastAsia="Calibri" w:hAnsi="Calibri"/>
          <w:color w:val="333333"/>
          <w:sz w:val="22"/>
          <w:szCs w:val="22"/>
        </w:rPr>
        <w:t xml:space="preserve">Este perfil cognitivo, junto con las observaciones conductuales registradas durante la evaluación, es consistente con Necesidades Educativas Especiales de carácter transitorio, orientándose a dificultades en el ámbito atencional-ejecutivo que requieren descartar diagnóstico de TDAH mediante evaluación médica especializada. Los resultados son concordantes con el Decreto N°170 para el ingreso y apoyo en el marco del Programa de Integración Escolar.</w:t>
      </w:r>
    </w:p>
    <w:p>
      <w:pPr>
        <w:spacing w:after="120" w:before="360"/>
      </w:pPr>
      <w:r>
        <w:rPr>
          <w:rFonts w:ascii="Calibri" w:cs="Calibri" w:eastAsia="Calibri" w:hAnsi="Calibri"/>
          <w:b/>
          <w:bCs/>
          <w:color w:val="1A1A2E"/>
          <w:sz w:val="24"/>
          <w:szCs w:val="24"/>
        </w:rPr>
        <w:t xml:space="preserve">8. SUGERENCIAS</w:t>
      </w:r>
    </w:p>
    <w:p>
      <w:pPr>
        <w:spacing w:after="120"/>
        <w:jc w:val="both"/>
      </w:pPr>
      <w:r>
        <w:rPr>
          <w:rFonts w:ascii="Calibri" w:cs="Calibri" w:eastAsia="Calibri" w:hAnsi="Calibri"/>
          <w:color w:val="333333"/>
          <w:sz w:val="22"/>
          <w:szCs w:val="22"/>
        </w:rPr>
        <w:t xml:space="preserve">PARA EL ESTABLECIMIENTO EDUCACIONAL:</w:t>
      </w:r>
    </w:p>
    <w:p>
      <w:pPr>
        <w:spacing w:after="120"/>
        <w:jc w:val="both"/>
      </w:pPr>
      <w:r>
        <w:rPr>
          <w:rFonts w:ascii="Calibri" w:cs="Calibri" w:eastAsia="Calibri" w:hAnsi="Calibri"/>
          <w:color w:val="333333"/>
          <w:sz w:val="22"/>
          <w:szCs w:val="22"/>
        </w:rPr>
        <w:t xml:space="preserve">• Proveer instrucciones escritas o visuales además de verbales, y segmentar las tareas en pasos pequeños con verificación de cada etapa.</w:t>
      </w:r>
    </w:p>
    <w:p>
      <w:pPr>
        <w:spacing w:after="120"/>
        <w:jc w:val="both"/>
      </w:pPr>
      <w:r>
        <w:rPr>
          <w:rFonts w:ascii="Calibri" w:cs="Calibri" w:eastAsia="Calibri" w:hAnsi="Calibri"/>
          <w:color w:val="333333"/>
          <w:sz w:val="22"/>
          <w:szCs w:val="22"/>
        </w:rPr>
        <w:t xml:space="preserve">• Implementar el uso de agenda escolar diaria y listas de cotejo como herramientas organizativas.</w:t>
      </w:r>
    </w:p>
    <w:p>
      <w:pPr>
        <w:spacing w:after="120"/>
        <w:jc w:val="both"/>
      </w:pPr>
      <w:r>
        <w:rPr>
          <w:rFonts w:ascii="Calibri" w:cs="Calibri" w:eastAsia="Calibri" w:hAnsi="Calibri"/>
          <w:color w:val="333333"/>
          <w:sz w:val="22"/>
          <w:szCs w:val="22"/>
        </w:rPr>
        <w:t xml:space="preserve">• Incorporar pausas activas breves durante las clases para apoyar la atención sostenida.</w:t>
      </w:r>
    </w:p>
    <w:p>
      <w:pPr>
        <w:spacing w:after="120"/>
        <w:jc w:val="both"/>
      </w:pPr>
      <w:r>
        <w:rPr>
          <w:rFonts w:ascii="Calibri" w:cs="Calibri" w:eastAsia="Calibri" w:hAnsi="Calibri"/>
          <w:color w:val="333333"/>
          <w:sz w:val="22"/>
          <w:szCs w:val="22"/>
        </w:rPr>
        <w:t xml:space="preserve">• Evitar instrucciones largas orales sin soporte escrito o visual; reducir la cantidad de información a retener en cada paso.</w:t>
      </w:r>
    </w:p>
    <w:p>
      <w:pPr>
        <w:spacing w:after="120"/>
        <w:jc w:val="both"/>
      </w:pPr>
      <w:r>
        <w:rPr>
          <w:rFonts w:ascii="Calibri" w:cs="Calibri" w:eastAsia="Calibri" w:hAnsi="Calibri"/>
          <w:color w:val="333333"/>
          <w:sz w:val="22"/>
          <w:szCs w:val="22"/>
        </w:rPr>
        <w:t xml:space="preserve">• Favorecer la práctica distribuida sobre la masiva para consolidar los aprendizajes.</w:t>
      </w:r>
    </w:p>
    <w:p>
      <w:pPr>
        <w:spacing w:after="120"/>
        <w:jc w:val="both"/>
      </w:pPr>
      <w:r>
        <w:rPr>
          <w:rFonts w:ascii="Calibri" w:cs="Calibri" w:eastAsia="Calibri" w:hAnsi="Calibri"/>
          <w:color w:val="333333"/>
          <w:sz w:val="22"/>
          <w:szCs w:val="22"/>
        </w:rPr>
        <w:t xml:space="preserve">PARA LA FAMILIA:</w:t>
      </w:r>
    </w:p>
    <w:p>
      <w:pPr>
        <w:spacing w:after="120"/>
        <w:jc w:val="both"/>
      </w:pPr>
      <w:r>
        <w:rPr>
          <w:rFonts w:ascii="Calibri" w:cs="Calibri" w:eastAsia="Calibri" w:hAnsi="Calibri"/>
          <w:color w:val="333333"/>
          <w:sz w:val="22"/>
          <w:szCs w:val="22"/>
        </w:rPr>
        <w:t xml:space="preserve">• Establecer un espacio fijo, tranquilo y libre de distracciones para las tareas escolares, con horario regular.</w:t>
      </w:r>
    </w:p>
    <w:p>
      <w:pPr>
        <w:spacing w:after="120"/>
        <w:jc w:val="both"/>
      </w:pPr>
      <w:r>
        <w:rPr>
          <w:rFonts w:ascii="Calibri" w:cs="Calibri" w:eastAsia="Calibri" w:hAnsi="Calibri"/>
          <w:color w:val="333333"/>
          <w:sz w:val="22"/>
          <w:szCs w:val="22"/>
        </w:rPr>
        <w:t xml:space="preserve">• Apoyar el desarrollo de hábitos de estudio mediante rutinas consistentes, con tiempos de trabajo y descanso definidos.</w:t>
      </w:r>
    </w:p>
    <w:p>
      <w:pPr>
        <w:spacing w:after="120"/>
        <w:jc w:val="both"/>
      </w:pPr>
      <w:r>
        <w:rPr>
          <w:rFonts w:ascii="Calibri" w:cs="Calibri" w:eastAsia="Calibri" w:hAnsi="Calibri"/>
          <w:color w:val="333333"/>
          <w:sz w:val="22"/>
          <w:szCs w:val="22"/>
        </w:rPr>
        <w:t xml:space="preserve">• Mantener comunicación regular con el equipo PIE para conocer los avances y las estrategias que funcionan en el contexto escolar.</w:t>
      </w:r>
    </w:p>
    <w:p>
      <w:pPr>
        <w:spacing w:after="120"/>
        <w:jc w:val="both"/>
      </w:pPr>
      <w:r>
        <w:rPr>
          <w:rFonts w:ascii="Calibri" w:cs="Calibri" w:eastAsia="Calibri" w:hAnsi="Calibri"/>
          <w:color w:val="333333"/>
          <w:sz w:val="22"/>
          <w:szCs w:val="22"/>
        </w:rPr>
        <w:t xml:space="preserve">• Destacar los logros y avances del/la estudiante, reforzando positivamente el esfuerzo más que el resultado.</w:t>
      </w:r>
    </w:p>
    <w:p>
      <w:pPr>
        <w:spacing w:after="120"/>
        <w:jc w:val="both"/>
      </w:pPr>
      <w:r>
        <w:rPr>
          <w:rFonts w:ascii="Calibri" w:cs="Calibri" w:eastAsia="Calibri" w:hAnsi="Calibri"/>
          <w:color w:val="333333"/>
          <w:sz w:val="22"/>
          <w:szCs w:val="22"/>
        </w:rPr>
        <w:t xml:space="preserve">• Asistir a las reuniones de coordinación del PIE y participar activamente en el Plan de Apoyo Individual (PAI).</w:t>
      </w:r>
    </w:p>
    <w:p>
      <w:pPr>
        <w:spacing w:after="120"/>
        <w:jc w:val="both"/>
      </w:pPr>
      <w:r>
        <w:rPr>
          <w:rFonts w:ascii="Calibri" w:cs="Calibri" w:eastAsia="Calibri" w:hAnsi="Calibri"/>
          <w:color w:val="333333"/>
          <w:sz w:val="22"/>
          <w:szCs w:val="22"/>
        </w:rPr>
        <w:t xml:space="preserve">Los resultados de la presente evaluación psicológica constituyen un insumo diagnóstico para la toma de decisiones educativas en el marco del Programa de Integración Escolar del establecimiento, en concordancia con los procedimientos establecidos en el Decreto Supremo N°170 del Ministerio de Educación de Chile.</w:t>
      </w:r>
    </w:p>
    <w:p>
      <w:pPr>
        <w:spacing w:after="200" w:before="400"/>
        <w:jc w:val="both"/>
      </w:pPr>
      <w:r>
        <w:rPr>
          <w:rFonts w:ascii="Calibri" w:cs="Calibri" w:eastAsia="Calibri" w:hAnsi="Calibri"/>
          <w:i/>
          <w:iCs/>
          <w:color w:val="333333"/>
          <w:sz w:val="22"/>
          <w:szCs w:val="22"/>
        </w:rPr>
        <w:t xml:space="preserve">Es todo cuanto puedo informar, quedando abierta la posibilidad a comentarios y sugerencias.</w:t>
      </w:r>
    </w:p>
    <w:p>
      <w:r>
        <w:br w:type="page"/>
      </w:r>
    </w:p>
    <w:p>
      <w:pPr>
        <w:spacing w:before="4000"/>
      </w:pPr>
    </w:p>
    <w:p>
      <w:pPr>
        <w:jc w:val="center"/>
      </w:pPr>
      <w:r>
        <w:rPr>
          <w:rFonts w:ascii="Calibri" w:cs="Calibri" w:eastAsia="Calibri" w:hAnsi="Calibri"/>
          <w:color w:val="333333"/>
          <w:sz w:val="22"/>
          <w:szCs w:val="22"/>
        </w:rPr>
        <w:t xml:space="preserve">________________________________________</w:t>
      </w:r>
    </w:p>
    <w:p>
      <w:pPr>
        <w:spacing w:before="80"/>
        <w:jc w:val="center"/>
      </w:pPr>
      <w:r>
        <w:rPr>
          <w:rFonts w:ascii="Calibri" w:cs="Calibri" w:eastAsia="Calibri" w:hAnsi="Calibri"/>
          <w:b/>
          <w:bCs/>
          <w:color w:val="1A1A2E"/>
          <w:sz w:val="24"/>
          <w:szCs w:val="24"/>
        </w:rPr>
        <w:t xml:space="preserve">María Fernanda Soto Valdés</w:t>
      </w:r>
    </w:p>
    <w:p>
      <w:pPr>
        <w:jc w:val="center"/>
      </w:pPr>
      <w:r>
        <w:rPr>
          <w:rFonts w:ascii="Calibri" w:cs="Calibri" w:eastAsia="Calibri" w:hAnsi="Calibri"/>
          <w:color w:val="666666"/>
          <w:sz w:val="22"/>
          <w:szCs w:val="22"/>
        </w:rPr>
        <w:t xml:space="preserve">Psicóloga · Programa de Integración Escolar</w:t>
      </w:r>
    </w:p>
    <w:p>
      <w:pPr>
        <w:jc w:val="center"/>
      </w:pPr>
      <w:r>
        <w:rPr>
          <w:rFonts w:ascii="Calibri" w:cs="Calibri" w:eastAsia="Calibri" w:hAnsi="Calibri"/>
          <w:color w:val="666666"/>
          <w:sz w:val="22"/>
          <w:szCs w:val="22"/>
        </w:rPr>
        <w:t xml:space="preserve">Escuela Básica Los Aromos (caso de ejemplo)</w:t>
      </w:r>
    </w:p>
    <w:p>
      <w:pPr>
        <w:jc w:val="center"/>
      </w:pPr>
      <w:r>
        <w:rPr>
          <w:rFonts w:ascii="Calibri" w:cs="Calibri" w:eastAsia="Calibri" w:hAnsi="Calibri"/>
          <w:color w:val="666666"/>
          <w:sz w:val="22"/>
          <w:szCs w:val="22"/>
        </w:rPr>
        <w:t xml:space="preserve">Rut: 16.402.117-9</w:t>
      </w:r>
    </w:p>
    <w:p>
      <w:pPr>
        <w:jc w:val="center"/>
      </w:pPr>
      <w:r>
        <w:rPr>
          <w:rFonts w:ascii="Calibri" w:cs="Calibri" w:eastAsia="Calibri" w:hAnsi="Calibri"/>
          <w:color w:val="666666"/>
          <w:sz w:val="22"/>
          <w:szCs w:val="22"/>
        </w:rPr>
        <w:t xml:space="preserve">Reg. MINEDUC 00000</w:t>
      </w:r>
    </w:p>
    <w:sectPr>
      <w:pgSz w:w="11906" w:h="16838" w:orient="portrait"/>
      <w:pgMar w:top="1440" w:right="1200" w:bottom="144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2026-08-30T04:04:26.650Z</dcterms:created>
  <dcterms:modified xsi:type="dcterms:W3CDTF">2026-08-30T04:04:26.650Z</dcterms:modified>
</cp:coreProperties>
</file>

<file path=docProps/custom.xml><?xml version="1.0" encoding="utf-8"?>
<Properties xmlns="http://schemas.openxmlformats.org/officeDocument/2006/custom-properties" xmlns:vt="http://schemas.openxmlformats.org/officeDocument/2006/docPropsVTypes"/>
</file>